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8FC" w:rsidRPr="004A7187" w:rsidRDefault="009558FC" w:rsidP="009558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  <w:t>Облекчаване на условията, при които може да се изготвят само вътрешни правила (инструкции) за осигуряване на ПБ</w:t>
      </w:r>
    </w:p>
    <w:p w:rsidR="009558FC" w:rsidRPr="004A7187" w:rsidRDefault="009558FC" w:rsidP="009558F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С изменение на чл. 9, ал. 3 са облекчени условията, при които не се изисква пълния набор на пожарното досие – това е допустимо за  обекти, в които максималният брой на едновременно работещите е не повече от 15 (преди „не повече от 5“).</w:t>
      </w:r>
    </w:p>
    <w:p w:rsidR="009558FC" w:rsidRPr="004A7187" w:rsidRDefault="009558FC" w:rsidP="009558F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Напомняме, че това облекчение е приложимо само за обекти, в които пребивават едновременно (временно или постоянно) не повече от 50 души.</w:t>
      </w:r>
    </w:p>
    <w:p w:rsidR="009558FC" w:rsidRPr="004A7187" w:rsidRDefault="009558FC" w:rsidP="009558F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Ако обектът е от подкласове на функционална пожарна опасност Ф1.1, Ф1.2, Ф2.1, Ф2.2 и Ф4.1 (за които се изисква план за евакуация), то тогава е необходимо да има вътрешни правила (инструкции) за осигуряване на ПБ на територията на обекта и план за евакуация на работещите и на пребиваващите на обекта лица при пожар или авария.</w:t>
      </w:r>
    </w:p>
    <w:p w:rsidR="009558FC" w:rsidRPr="004A7187" w:rsidRDefault="009558FC" w:rsidP="009558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  <w:t>Промени, свързани с дневника за извършените периодични проверки на носимите и возимите пожарогасители</w:t>
      </w:r>
    </w:p>
    <w:p w:rsidR="009558FC" w:rsidRPr="004A7187" w:rsidRDefault="009558FC" w:rsidP="009558FC">
      <w:pPr>
        <w:shd w:val="clear" w:color="auto" w:fill="F8F9FA"/>
        <w:spacing w:line="240" w:lineRule="auto"/>
        <w:rPr>
          <w:rFonts w:ascii="Times New Roman" w:eastAsia="Times New Roman" w:hAnsi="Times New Roman" w:cs="Times New Roman"/>
          <w:i/>
          <w:iCs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i/>
          <w:iCs/>
          <w:color w:val="3A3A3A"/>
          <w:sz w:val="27"/>
          <w:szCs w:val="27"/>
          <w:lang w:eastAsia="bg-BG"/>
        </w:rPr>
        <w:t>С изменение на </w:t>
      </w:r>
      <w:hyperlink r:id="rId7" w:anchor="pril4" w:tgtFrame="_blank" w:history="1">
        <w:r w:rsidRPr="004A7187">
          <w:rPr>
            <w:rFonts w:ascii="Times New Roman" w:eastAsia="Times New Roman" w:hAnsi="Times New Roman" w:cs="Times New Roman"/>
            <w:i/>
            <w:iCs/>
            <w:color w:val="1E73BE"/>
            <w:sz w:val="27"/>
            <w:szCs w:val="27"/>
            <w:bdr w:val="none" w:sz="0" w:space="0" w:color="auto" w:frame="1"/>
            <w:lang w:eastAsia="bg-BG"/>
          </w:rPr>
          <w:t>Приложение № 4 към чл. 13, ал. 1 от наредбата</w:t>
        </w:r>
      </w:hyperlink>
      <w:r w:rsidRPr="004A7187">
        <w:rPr>
          <w:rFonts w:ascii="Times New Roman" w:eastAsia="Times New Roman" w:hAnsi="Times New Roman" w:cs="Times New Roman"/>
          <w:i/>
          <w:iCs/>
          <w:color w:val="3A3A3A"/>
          <w:sz w:val="27"/>
          <w:szCs w:val="27"/>
          <w:lang w:eastAsia="bg-BG"/>
        </w:rPr>
        <w:t> се определя </w:t>
      </w:r>
      <w:r w:rsidRPr="004A7187">
        <w:rPr>
          <w:rFonts w:ascii="Times New Roman" w:eastAsia="Times New Roman" w:hAnsi="Times New Roman" w:cs="Times New Roman"/>
          <w:b/>
          <w:bCs/>
          <w:i/>
          <w:iCs/>
          <w:color w:val="3A3A3A"/>
          <w:sz w:val="27"/>
          <w:szCs w:val="27"/>
          <w:bdr w:val="none" w:sz="0" w:space="0" w:color="auto" w:frame="1"/>
          <w:lang w:eastAsia="bg-BG"/>
        </w:rPr>
        <w:t>нов формат</w:t>
      </w:r>
      <w:r w:rsidRPr="004A7187">
        <w:rPr>
          <w:rFonts w:ascii="Times New Roman" w:eastAsia="Times New Roman" w:hAnsi="Times New Roman" w:cs="Times New Roman"/>
          <w:i/>
          <w:iCs/>
          <w:color w:val="3A3A3A"/>
          <w:sz w:val="27"/>
          <w:szCs w:val="27"/>
          <w:lang w:eastAsia="bg-BG"/>
        </w:rPr>
        <w:t> на Дневника за контрол на наличието и изправността на носимите и возимите пожарогасители.</w:t>
      </w:r>
    </w:p>
    <w:p w:rsidR="009558FC" w:rsidRPr="004A7187" w:rsidRDefault="009558FC" w:rsidP="009558F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Разликата със старата форма е, че има добавена колона „Дата, на която е извършена проверката“.</w:t>
      </w:r>
    </w:p>
    <w:p w:rsidR="009558FC" w:rsidRPr="004A7187" w:rsidRDefault="009558FC" w:rsidP="009558F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Също така е направено уточнение, че „Дневникът се съхранява не по-малко от една година след попълването му.“</w:t>
      </w:r>
    </w:p>
    <w:tbl>
      <w:tblPr>
        <w:tblW w:w="15004" w:type="dxa"/>
        <w:tblInd w:w="-1279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4"/>
      </w:tblGrid>
      <w:tr w:rsidR="009558FC" w:rsidRPr="004A7187" w:rsidTr="00591F67">
        <w:tc>
          <w:tcPr>
            <w:tcW w:w="1500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CFC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58FC" w:rsidRPr="004A7187" w:rsidRDefault="009558FC" w:rsidP="00591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lang w:eastAsia="bg-BG"/>
              </w:rPr>
            </w:pPr>
            <w:r w:rsidRPr="004A7187">
              <w:rPr>
                <w:rFonts w:ascii="Times New Roman" w:eastAsia="Times New Roman" w:hAnsi="Times New Roman" w:cs="Times New Roman"/>
                <w:b/>
                <w:bCs/>
                <w:color w:val="3A3A3A"/>
                <w:sz w:val="27"/>
                <w:szCs w:val="27"/>
                <w:bdr w:val="none" w:sz="0" w:space="0" w:color="auto" w:frame="1"/>
                <w:lang w:eastAsia="bg-BG"/>
              </w:rPr>
              <w:t>Ново изискване (изм. чл. 13. , ал. 1):</w:t>
            </w:r>
            <w:r w:rsidRPr="004A7187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lang w:eastAsia="bg-BG"/>
              </w:rPr>
              <w:t xml:space="preserve"> Мястото на съхранение на дневника трябва да бъде </w:t>
            </w:r>
          </w:p>
          <w:p w:rsidR="009558FC" w:rsidRPr="004A7187" w:rsidRDefault="009558FC" w:rsidP="00591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lang w:eastAsia="bg-BG"/>
              </w:rPr>
            </w:pPr>
            <w:r w:rsidRPr="004A7187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lang w:eastAsia="bg-BG"/>
              </w:rPr>
              <w:t xml:space="preserve">определено в заповедта, с която се определя редът за контрол на пожарогасителите, </w:t>
            </w:r>
          </w:p>
          <w:p w:rsidR="009558FC" w:rsidRPr="004A7187" w:rsidRDefault="009558FC" w:rsidP="00591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lang w:eastAsia="bg-BG"/>
              </w:rPr>
            </w:pPr>
            <w:r w:rsidRPr="004A7187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lang w:eastAsia="bg-BG"/>
              </w:rPr>
              <w:t>а в обекти, за които не се изисква такава заповед, мястото трябва да бъде определено</w:t>
            </w:r>
          </w:p>
          <w:p w:rsidR="009558FC" w:rsidRPr="004A7187" w:rsidRDefault="009558FC" w:rsidP="00591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lang w:eastAsia="bg-BG"/>
              </w:rPr>
            </w:pPr>
            <w:r w:rsidRPr="004A7187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lang w:eastAsia="bg-BG"/>
              </w:rPr>
              <w:t xml:space="preserve"> във вътрешните правила (инструкции) за осигуряване на ПБ на територията на обекта.</w:t>
            </w:r>
          </w:p>
        </w:tc>
      </w:tr>
    </w:tbl>
    <w:p w:rsidR="009558FC" w:rsidRPr="004A7187" w:rsidRDefault="009558FC" w:rsidP="009558F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</w:t>
      </w:r>
    </w:p>
    <w:p w:rsidR="009558FC" w:rsidRPr="004A7187" w:rsidRDefault="009558FC" w:rsidP="009558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  <w:lastRenderedPageBreak/>
        <w:t>Ново: Изисквания за контрол на пожарозащитните врати и димоуплътнените врати (дневник)</w:t>
      </w:r>
    </w:p>
    <w:p w:rsidR="009558FC" w:rsidRPr="004A7187" w:rsidRDefault="009558FC" w:rsidP="009558FC">
      <w:pPr>
        <w:shd w:val="clear" w:color="auto" w:fill="F8F9FA"/>
        <w:spacing w:line="240" w:lineRule="auto"/>
        <w:rPr>
          <w:rFonts w:ascii="Times New Roman" w:eastAsia="Times New Roman" w:hAnsi="Times New Roman" w:cs="Times New Roman"/>
          <w:i/>
          <w:iCs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i/>
          <w:iCs/>
          <w:color w:val="3A3A3A"/>
          <w:sz w:val="27"/>
          <w:szCs w:val="27"/>
          <w:lang w:eastAsia="bg-BG"/>
        </w:rPr>
        <w:t>С нов чл. 21а се въвежда задължение за контрол на пожарозащитните врати и димоуплътнените врати в обекти от всички класове на функционална пожарна опасност (с изключение на тези от подкласове на функционална пожарна опасност Ф1.3 и Ф1.4 ).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В </w:t>
      </w:r>
      <w:hyperlink r:id="rId8" w:anchor="%D0%94%D0%BE%D0%BF%D1%8A%D0%BB%D0%BD%D0%B8%D1%82%D0%B5%D0%BB%D0%BD%D0%B8_%D1%80%D0%B0%D0%B7%D0%BF%D0%BE%D1%80%D0%B5%D0%B4%D0%B1%D0%B8" w:tgtFrame="_blank" w:history="1">
        <w:r w:rsidRPr="004A7187">
          <w:rPr>
            <w:rFonts w:ascii="Times New Roman" w:eastAsia="Times New Roman" w:hAnsi="Times New Roman" w:cs="Times New Roman"/>
            <w:color w:val="1E73BE"/>
            <w:sz w:val="27"/>
            <w:szCs w:val="27"/>
            <w:bdr w:val="none" w:sz="0" w:space="0" w:color="auto" w:frame="1"/>
            <w:lang w:eastAsia="bg-BG"/>
          </w:rPr>
          <w:t>допълнителните разпоредби на наредбата</w:t>
        </w:r>
      </w:hyperlink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са добавени и определения за същите, които гласят следното: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i/>
          <w:iCs/>
          <w:color w:val="3A3A3A"/>
          <w:sz w:val="27"/>
          <w:szCs w:val="27"/>
          <w:bdr w:val="none" w:sz="0" w:space="0" w:color="auto" w:frame="1"/>
          <w:lang w:eastAsia="bg-BG"/>
        </w:rPr>
        <w:t>„Пожарозащитни врати“ са врати, предназначени да осигурят устойчивост на огън, когато се използват за затваряне на постоянни отвори в устойчиви на огън преградни елементи (стени). Вратата може да включва всеки страничен панел, панели за наблюдение, горни изравнителни панели, напречни панели и/или остъкление, заедно със строителния обков и всички уплътнения (осигурени за целите на устойчивостта на огън).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i/>
          <w:iCs/>
          <w:color w:val="3A3A3A"/>
          <w:sz w:val="27"/>
          <w:szCs w:val="27"/>
          <w:bdr w:val="none" w:sz="0" w:space="0" w:color="auto" w:frame="1"/>
          <w:lang w:eastAsia="bg-BG"/>
        </w:rPr>
        <w:t>„Димоуплътнени врати“ са димозащитни врати с класификация за пропускане на дим Sa (Sa3 или Sa4) или S200 съгласно БДС EN 13501-2 „Класификация на строителни продукти и елементи по отношение на реакцията им на огън. Част 2: Класификация въз основа на резултати от изпитвания за устойчивост на огън и/или контрол на дима, с изключение на вентилационни инсталации“.“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Във връзка с това има следните изисквания:</w:t>
      </w:r>
    </w:p>
    <w:p w:rsidR="009558FC" w:rsidRPr="004A7187" w:rsidRDefault="009558FC" w:rsidP="009558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Да се извършват периодични проверки на интервали от не повече от 1 година (нов чл. 21а.). Проверките трябва да съответстват изискванията в инструкцията за експлоатация на производителя и изискванията на </w:t>
      </w:r>
      <w:hyperlink r:id="rId9" w:anchor="pril5b" w:tgtFrame="_blank" w:history="1">
        <w:r w:rsidRPr="004A7187">
          <w:rPr>
            <w:rFonts w:ascii="Times New Roman" w:eastAsia="Times New Roman" w:hAnsi="Times New Roman" w:cs="Times New Roman"/>
            <w:color w:val="1E73BE"/>
            <w:sz w:val="27"/>
            <w:szCs w:val="27"/>
            <w:bdr w:val="none" w:sz="0" w:space="0" w:color="auto" w:frame="1"/>
            <w:lang w:eastAsia="bg-BG"/>
          </w:rPr>
          <w:t>новото приложение 5б</w:t>
        </w:r>
      </w:hyperlink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към наредбата със заглавието „Изисквания, свързани с контрола на пожарозащитните врати и димоуплътнените врати“.</w:t>
      </w:r>
    </w:p>
    <w:p w:rsidR="009558FC" w:rsidRPr="004A7187" w:rsidRDefault="009558FC" w:rsidP="009558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Да се определят с писмена заповед длъжностни лица за осъществяване на контрол на пожарозащитните врати и димоуплътнените врати (изм. чл. 6, ал. 1, т. 3). С нова ал. 5 на чл. 7 е въведена и отговорност на определите за контрола лица за писмено уведомяване на ръководителя на обекта за всяка констатирана неизправност на пожарозащитна врата или димоуплътнена врата с предложение за предприемане на съответното коригиращо действие.</w:t>
      </w:r>
    </w:p>
    <w:p w:rsidR="009558FC" w:rsidRPr="004A7187" w:rsidRDefault="009558FC" w:rsidP="009558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Да се определи със заповед редът за контрол на пожарозащитните врати и димоуплътнените врати (изм. чл. 9, ал. 2, т. 7).</w:t>
      </w:r>
    </w:p>
    <w:p w:rsidR="009558FC" w:rsidRPr="004A7187" w:rsidRDefault="009558FC" w:rsidP="009558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Проверките да се документират в дневник за контрол на пожарозащитните врати и димоуплътнените врати по образец в </w:t>
      </w:r>
      <w:hyperlink r:id="rId10" w:anchor="pril4a" w:tgtFrame="_blank" w:history="1">
        <w:r w:rsidRPr="004A7187">
          <w:rPr>
            <w:rFonts w:ascii="Times New Roman" w:eastAsia="Times New Roman" w:hAnsi="Times New Roman" w:cs="Times New Roman"/>
            <w:color w:val="1E73BE"/>
            <w:sz w:val="27"/>
            <w:szCs w:val="27"/>
            <w:bdr w:val="none" w:sz="0" w:space="0" w:color="auto" w:frame="1"/>
            <w:lang w:eastAsia="bg-BG"/>
          </w:rPr>
          <w:t>новото приложение 4а на наредбата</w:t>
        </w:r>
      </w:hyperlink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.</w:t>
      </w:r>
    </w:p>
    <w:p w:rsidR="009558FC" w:rsidRPr="004A7187" w:rsidRDefault="009558FC" w:rsidP="009558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  <w:lastRenderedPageBreak/>
        <w:t>Ново: Контрол на аварийното евакуационно и аварийното работно осветление (протоколи)</w:t>
      </w:r>
    </w:p>
    <w:p w:rsidR="009558FC" w:rsidRPr="004A7187" w:rsidRDefault="009558FC" w:rsidP="009558FC">
      <w:pPr>
        <w:shd w:val="clear" w:color="auto" w:fill="F8F9FA"/>
        <w:spacing w:line="240" w:lineRule="auto"/>
        <w:rPr>
          <w:rFonts w:ascii="Times New Roman" w:eastAsia="Times New Roman" w:hAnsi="Times New Roman" w:cs="Times New Roman"/>
          <w:i/>
          <w:iCs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i/>
          <w:iCs/>
          <w:color w:val="3A3A3A"/>
          <w:sz w:val="27"/>
          <w:szCs w:val="27"/>
          <w:lang w:eastAsia="bg-BG"/>
        </w:rPr>
        <w:t>С нова алинея 2 на чл. 26 се въвежда задължение за контрол на аварийното евакуационно и аварийното работно осветление.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Във връзка с това има следните изисквания:</w:t>
      </w:r>
    </w:p>
    <w:p w:rsidR="009558FC" w:rsidRPr="004A7187" w:rsidRDefault="009558FC" w:rsidP="009558F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Да се извършват периодични проверки на интервали от не повече от 1 година (чл. 26, нова ал. 2). Проверките се документират с протокол (няма образец в наредбата).</w:t>
      </w:r>
    </w:p>
    <w:p w:rsidR="009558FC" w:rsidRPr="004A7187" w:rsidRDefault="009558FC" w:rsidP="009558F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Да се определят с писмена заповед длъжностни лица за осъществяване на контрола на аварийното евакуационно и аварийното работно осветление (изм. чл. 6, ал. 1, т. 3). С нова ал. 6 на чл. 7 е въведена и отговорност на определите за контрола лица за писмено уведомяване на ръководителя на обекта за всяка констатирана неизправност с предложение за предприемане на съответното коригиращо действие.</w:t>
      </w:r>
    </w:p>
    <w:p w:rsidR="009558FC" w:rsidRPr="004A7187" w:rsidRDefault="009558FC" w:rsidP="009558F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Да се определи със заповед редът за контрол на аварийното евакуационно и аварийното работно осветление (изм. чл. 9, ал. 2, т. 7).</w:t>
      </w:r>
    </w:p>
    <w:p w:rsidR="009558FC" w:rsidRPr="004A7187" w:rsidRDefault="009558FC" w:rsidP="009558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  <w:t>Ново: Дневник на всяка ПИС, ПГИ, СГС и система за управление на дим и топлина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До момента воденето на дневниците произтичаше от изискванията на приложимите стандарти. Сега имаме конкретно нормативно изискване с 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u w:val="single"/>
          <w:bdr w:val="none" w:sz="0" w:space="0" w:color="auto" w:frame="1"/>
          <w:lang w:eastAsia="bg-BG"/>
        </w:rPr>
        <w:t>нов чл. 13б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в наредбата , който изисква:</w:t>
      </w:r>
    </w:p>
    <w:p w:rsidR="009558FC" w:rsidRPr="004A7187" w:rsidRDefault="009558FC" w:rsidP="009558F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Да се води дневник за всяка ПИС, ПГИ, СГС и система за управление на дим и топлина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за записване на събитията, произлизащи от системата/инсталацията и влияещи върху нея (в т.ч. реални задействания, лъжливи задействания, повреди, спиране функционирането или изключване на системата/инсталацията или част от нея, извършени поддържания и обслужвания, извършени ремонтни дейности и др.).</w:t>
      </w:r>
    </w:p>
    <w:p w:rsidR="009558FC" w:rsidRPr="004A7187" w:rsidRDefault="009558FC" w:rsidP="009558F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Да се определи мястото на съхранение на дневниците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в заповедта по чл. 6, ал. 1, т. 3 от наредбата (с която се определят длъжностни лица за извършване на дейностите по поддържане и обслужване на ПИС, ПГС, СГУ и системите за управление на дим и топлина и за опериране с ПИС, ПГС, СГУ и със системите за управление на дим и топлина).</w:t>
      </w:r>
    </w:p>
    <w:p w:rsidR="009558FC" w:rsidRPr="004A7187" w:rsidRDefault="009558FC" w:rsidP="009558F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В същата заповед да се определят отговорните лица за воденето на дневниците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.</w:t>
      </w:r>
    </w:p>
    <w:p w:rsidR="009558FC" w:rsidRPr="004A7187" w:rsidRDefault="009558FC" w:rsidP="009558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  <w:t>Промени, свързани с воденето на дневник за изключване на електрозахранването</w:t>
      </w:r>
    </w:p>
    <w:p w:rsidR="009558FC" w:rsidRPr="004A7187" w:rsidRDefault="009558FC" w:rsidP="009558FC">
      <w:pPr>
        <w:shd w:val="clear" w:color="auto" w:fill="F8F9FA"/>
        <w:spacing w:line="240" w:lineRule="auto"/>
        <w:rPr>
          <w:rFonts w:ascii="Times New Roman" w:eastAsia="Times New Roman" w:hAnsi="Times New Roman" w:cs="Times New Roman"/>
          <w:i/>
          <w:iCs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i/>
          <w:iCs/>
          <w:color w:val="3A3A3A"/>
          <w:sz w:val="27"/>
          <w:szCs w:val="27"/>
          <w:lang w:eastAsia="bg-BG"/>
        </w:rPr>
        <w:lastRenderedPageBreak/>
        <w:t>Изискването за водене на дневник за изключване на електрозахранването остава </w:t>
      </w:r>
      <w:r w:rsidRPr="004A7187">
        <w:rPr>
          <w:rFonts w:ascii="Times New Roman" w:eastAsia="Times New Roman" w:hAnsi="Times New Roman" w:cs="Times New Roman"/>
          <w:i/>
          <w:iCs/>
          <w:color w:val="3A3A3A"/>
          <w:sz w:val="27"/>
          <w:szCs w:val="27"/>
          <w:u w:val="single"/>
          <w:bdr w:val="none" w:sz="0" w:space="0" w:color="auto" w:frame="1"/>
          <w:lang w:eastAsia="bg-BG"/>
        </w:rPr>
        <w:t>само за производствени и складови сгради. (изм. чл. 12.)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Не се изисква водене на дневник и за производствени и складови гради в следните случаи (изм. чл. 12 и чл. 36):</w:t>
      </w:r>
    </w:p>
    <w:p w:rsidR="009558FC" w:rsidRPr="004A7187" w:rsidRDefault="009558FC" w:rsidP="009558F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когато се работи непрекъснато;</w:t>
      </w:r>
    </w:p>
    <w:p w:rsidR="009558FC" w:rsidRPr="004A7187" w:rsidRDefault="009558FC" w:rsidP="009558F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когато за електрическо захранване предвидено за захранване на консуматори с непрекъснат режим на работа;</w:t>
      </w:r>
    </w:p>
    <w:p w:rsidR="009558FC" w:rsidRPr="004A7187" w:rsidRDefault="009558FC" w:rsidP="009558F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bdr w:val="none" w:sz="0" w:space="0" w:color="auto" w:frame="1"/>
          <w:lang w:eastAsia="bg-BG"/>
        </w:rPr>
        <w:t>когато обектите са със застроена площ до 200 m2</w:t>
      </w:r>
    </w:p>
    <w:p w:rsidR="009558FC" w:rsidRPr="004A7187" w:rsidRDefault="009558FC" w:rsidP="009558F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bdr w:val="none" w:sz="0" w:space="0" w:color="auto" w:frame="1"/>
          <w:lang w:eastAsia="bg-BG"/>
        </w:rPr>
        <w:t>за обекти, при които изключването на захранването на токовите кръгове се извършва посредством автоматизирани системи за управление на сгради (BMS).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Има промяна в заглавието на дневника (</w:t>
      </w:r>
      <w:hyperlink r:id="rId11" w:anchor="pril3" w:tgtFrame="_blank" w:history="1">
        <w:r w:rsidRPr="004A7187">
          <w:rPr>
            <w:rFonts w:ascii="Times New Roman" w:eastAsia="Times New Roman" w:hAnsi="Times New Roman" w:cs="Times New Roman"/>
            <w:color w:val="1E73BE"/>
            <w:sz w:val="27"/>
            <w:szCs w:val="27"/>
            <w:bdr w:val="none" w:sz="0" w:space="0" w:color="auto" w:frame="1"/>
            <w:lang w:eastAsia="bg-BG"/>
          </w:rPr>
          <w:t>приложение №3 на наредбата</w:t>
        </w:r>
      </w:hyperlink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) – става „Дневник за изключване на електрическото захранване след приключване на работния ден (преди „приключване на работното време“), както и уточнението, че „дневникът се съхранява не по-малко от една година след попълването му“.</w:t>
      </w:r>
    </w:p>
    <w:p w:rsidR="009558FC" w:rsidRPr="004A7187" w:rsidRDefault="009558FC" w:rsidP="009558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  <w:t>Ново: Изисквания, свързани със смукателните вентилационни инсталации за отвеждане на газове и пари, получени в резултат на температурната обработка на хранителни продукти</w:t>
      </w:r>
    </w:p>
    <w:p w:rsidR="009558FC" w:rsidRPr="004A7187" w:rsidRDefault="009558FC" w:rsidP="009558F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До момента също имаше някои изисквания, които бяха към „шахтите и въздухопроводите за скари, фритюрници и други подобни“.</w:t>
      </w:r>
    </w:p>
    <w:p w:rsidR="009558FC" w:rsidRPr="004A7187" w:rsidRDefault="009558FC" w:rsidP="009558F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Сега са въведени по-систематизирани изисквания в новия чл. 37а, които са отнасят до „ямукателните вентилационни инсталации за отвеждане на газове и пари, получени в резултат на температурната обработка на хранителни продукти“, например:</w:t>
      </w:r>
    </w:p>
    <w:p w:rsidR="009558FC" w:rsidRPr="004A7187" w:rsidRDefault="009558FC" w:rsidP="009558F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изграждане при спазване на изискванията на Наредба № Iз-1971 от 2009 г.;</w:t>
      </w:r>
    </w:p>
    <w:p w:rsidR="009558FC" w:rsidRPr="004A7187" w:rsidRDefault="009558FC" w:rsidP="009558F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забрана за свързване към всякакви други вентилационни инсталации;</w:t>
      </w:r>
    </w:p>
    <w:p w:rsidR="009558FC" w:rsidRPr="004A7187" w:rsidRDefault="009558FC" w:rsidP="009558F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изхвърляните от тези инсталации газове и пари трябва да бъде на разстояние не по-малко от 0,5 m от конструктивни елементи и покрития с класове по реакция на огън В – F или с неустановени експлоатационни показатели по отношение на реакцията им на огън.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Ново: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 xml:space="preserve"> с нова т. 15 на чл. 5 се въвежда задължение на периодично и преди есенно-зимния сезон почистване на въздухопроводите и вентилационните шахти на смукателните вентилационни инсталации за отвеждане на газове и 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lastRenderedPageBreak/>
        <w:t>пари, получени в резултат на температурната обработка на хранителни продукти и на техните негорими мастни филтри (мазниноуловители).</w:t>
      </w:r>
    </w:p>
    <w:p w:rsidR="009558FC" w:rsidRPr="004A7187" w:rsidRDefault="009558FC" w:rsidP="009558F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Почистването трябва да се документира с протокол (няма образец в наредбата) и да се съхранява в пожарното досие (изм. чл. 9, ал. 1, т. 5).</w:t>
      </w:r>
    </w:p>
    <w:p w:rsidR="009558FC" w:rsidRPr="004A7187" w:rsidRDefault="009558FC" w:rsidP="009558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  <w:t>Евакуация и планове за евакуация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(Чл. 7. , ал. 1, нова т. 5)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Въвежда се задължение за работещите да участват в учебните евакуации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С нова т. 7 на чл. 20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се забранява паркирането на транспортни средства и съхранението на материали, оборудване и други подобни извън сградите на разстояние, по-малко от 1,5 m от крайните им евакуационни изходи – за сгради или части от тях (съгласно чл. 12, ал. 1 от Наредба № Iз-1971 от 2009 г. ) с възможност за едновременно пребиваване на над 100 човека.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(чл. 34, ал. 4, нова т. 4)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Допуска се, когато евакуационните коридори и/или фоайета по т. 2 са с алтернативна евакуация (при наличие на пътища за евакуация в две или повече посоки), шкафчетата по т. 1 да са изработени от материал, различен от метал, при спазване на условията по ал. 8. Съответно в алинея 8 има изменение в условията.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(чл. 34, нова ал. 9)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Не се разрешава паркиране в затворените гаражи, разположени в обекти от подкласове на функционална пожарна опасност Ф1.1, Ф1.2, Ф2, Ф3, Ф4 и Ф5.2, за които са приложими строително-техническите правила и норми, регламентирани в Наредба № Iз-1971 от 2009 г.) с автомобилни газови уредби извън зоните по чл. 664 от същата наредба.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(чл. 14, ал. 2, нова т. 5)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Изискване в домове за стари хора и хосписи (от подклас на функционална пожарна опасност Ф1.1) и за дискотеки, казина, игрални зали и танцови зали (от подклас на функционална пожарна опасност Ф2.2) да се изпълняват изискващите се светла широчина и брой на евакуационните изходи съгласно чл. 41 от Наредба № Iз-1971 от 2009 г.  Допуска се това да не бъде изпълнено, ако в обекта е осигурена автоматична пожароизвестителна система със звукова сигнализация на всеки етаж.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(чл. 11, ал. 5, нова т. 5)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Допълнение отнсно поставянето на схемите за евакуация с изискване да са на височина от 1,4 m до 2 m, измерено от пода до най-високо разположената част на схемата за евакуация.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(чл. 11, изм. ал. 9) Облекчение: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Вече се допуска учебните евакуации да се изпълняват само от обслужващия персонал и за сгради от категория „В2“ (с изключение на детски заведения). Остава допустимостта едната от учебните евакуации за детски заведения от категория „В2“, да се изпълнява само от обслужващия персонал на обекта.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</w:p>
    <w:p w:rsidR="009558FC" w:rsidRPr="004A7187" w:rsidRDefault="009558FC" w:rsidP="009558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  <w:lastRenderedPageBreak/>
        <w:t>Изменение в знаците за пожарни хидранти и пожарни водоеми</w:t>
      </w:r>
    </w:p>
    <w:tbl>
      <w:tblPr>
        <w:tblW w:w="15146" w:type="dxa"/>
        <w:tblInd w:w="-1421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828"/>
        <w:gridCol w:w="8199"/>
      </w:tblGrid>
      <w:tr w:rsidR="009558FC" w:rsidRPr="004A7187" w:rsidTr="00591F67"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C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58FC" w:rsidRPr="004A7187" w:rsidRDefault="009558FC" w:rsidP="0059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lang w:eastAsia="bg-BG"/>
              </w:rPr>
            </w:pPr>
            <w:r w:rsidRPr="004A7187">
              <w:rPr>
                <w:rFonts w:ascii="Times New Roman" w:eastAsia="Times New Roman" w:hAnsi="Times New Roman" w:cs="Times New Roman"/>
                <w:b/>
                <w:bCs/>
                <w:color w:val="3A3A3A"/>
                <w:sz w:val="27"/>
                <w:szCs w:val="27"/>
                <w:bdr w:val="none" w:sz="0" w:space="0" w:color="auto" w:frame="1"/>
                <w:lang w:eastAsia="bg-BG"/>
              </w:rPr>
              <w:t>Преди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F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58FC" w:rsidRPr="004A7187" w:rsidRDefault="009558FC" w:rsidP="00591F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lang w:eastAsia="bg-BG"/>
              </w:rPr>
            </w:pPr>
            <w:r w:rsidRPr="004A7187">
              <w:rPr>
                <w:rFonts w:ascii="Times New Roman" w:eastAsia="Times New Roman" w:hAnsi="Times New Roman" w:cs="Times New Roman"/>
                <w:b/>
                <w:bCs/>
                <w:color w:val="3A3A3A"/>
                <w:sz w:val="27"/>
                <w:szCs w:val="27"/>
                <w:bdr w:val="none" w:sz="0" w:space="0" w:color="auto" w:frame="1"/>
                <w:lang w:eastAsia="bg-BG"/>
              </w:rPr>
              <w:t>Сега (надземни)</w:t>
            </w:r>
          </w:p>
        </w:tc>
        <w:tc>
          <w:tcPr>
            <w:tcW w:w="8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F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58FC" w:rsidRPr="004A7187" w:rsidRDefault="009558FC" w:rsidP="00591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lang w:eastAsia="bg-BG"/>
              </w:rPr>
            </w:pPr>
            <w:r w:rsidRPr="004A7187">
              <w:rPr>
                <w:rFonts w:ascii="Times New Roman" w:eastAsia="Times New Roman" w:hAnsi="Times New Roman" w:cs="Times New Roman"/>
                <w:b/>
                <w:bCs/>
                <w:color w:val="3A3A3A"/>
                <w:sz w:val="27"/>
                <w:szCs w:val="27"/>
                <w:bdr w:val="none" w:sz="0" w:space="0" w:color="auto" w:frame="1"/>
                <w:lang w:eastAsia="bg-BG"/>
              </w:rPr>
              <w:t>Сега (подземни)</w:t>
            </w:r>
          </w:p>
        </w:tc>
      </w:tr>
      <w:tr w:rsidR="009558FC" w:rsidRPr="004A7187" w:rsidTr="00591F67"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C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58FC" w:rsidRPr="004A7187" w:rsidRDefault="009558FC" w:rsidP="00591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lang w:eastAsia="bg-BG"/>
              </w:rPr>
            </w:pPr>
            <w:r w:rsidRPr="004A7187">
              <w:rPr>
                <w:rFonts w:ascii="Times New Roman" w:eastAsia="Times New Roman" w:hAnsi="Times New Roman" w:cs="Times New Roman"/>
                <w:noProof/>
                <w:color w:val="1E73BE"/>
                <w:sz w:val="27"/>
                <w:szCs w:val="27"/>
                <w:bdr w:val="none" w:sz="0" w:space="0" w:color="auto" w:frame="1"/>
                <w:lang w:eastAsia="bg-BG"/>
              </w:rPr>
              <w:drawing>
                <wp:inline distT="0" distB="0" distL="0" distR="0" wp14:anchorId="46CDB648" wp14:editId="5CD6C5D1">
                  <wp:extent cx="1533525" cy="3219450"/>
                  <wp:effectExtent l="0" t="0" r="9525" b="0"/>
                  <wp:docPr id="10" name="Picture 10" descr="PB 4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B 4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321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F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58FC" w:rsidRPr="004A7187" w:rsidRDefault="009558FC" w:rsidP="00591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lang w:eastAsia="bg-BG"/>
              </w:rPr>
            </w:pPr>
            <w:r w:rsidRPr="004A7187">
              <w:rPr>
                <w:rFonts w:ascii="Times New Roman" w:eastAsia="Times New Roman" w:hAnsi="Times New Roman" w:cs="Times New Roman"/>
                <w:noProof/>
                <w:color w:val="1E73BE"/>
                <w:sz w:val="27"/>
                <w:szCs w:val="27"/>
                <w:bdr w:val="none" w:sz="0" w:space="0" w:color="auto" w:frame="1"/>
                <w:lang w:eastAsia="bg-BG"/>
              </w:rPr>
              <w:drawing>
                <wp:inline distT="0" distB="0" distL="0" distR="0" wp14:anchorId="366FBEB7" wp14:editId="77F43982">
                  <wp:extent cx="1524000" cy="1485900"/>
                  <wp:effectExtent l="0" t="0" r="0" b="0"/>
                  <wp:docPr id="11" name="Picture 11" descr="Знак за обозначаване на надземни пожарни хидранти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Знак за обозначаване на надземни пожарни хидранти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187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lang w:eastAsia="bg-BG"/>
              </w:rPr>
              <w:br/>
            </w:r>
            <w:r w:rsidRPr="004A7187">
              <w:rPr>
                <w:rFonts w:ascii="Times New Roman" w:eastAsia="Times New Roman" w:hAnsi="Times New Roman" w:cs="Times New Roman"/>
                <w:noProof/>
                <w:color w:val="1E73BE"/>
                <w:sz w:val="27"/>
                <w:szCs w:val="27"/>
                <w:bdr w:val="none" w:sz="0" w:space="0" w:color="auto" w:frame="1"/>
                <w:lang w:eastAsia="bg-BG"/>
              </w:rPr>
              <w:drawing>
                <wp:inline distT="0" distB="0" distL="0" distR="0" wp14:anchorId="6F4F37EB" wp14:editId="4D2130C6">
                  <wp:extent cx="1524000" cy="1504950"/>
                  <wp:effectExtent l="0" t="0" r="0" b="0"/>
                  <wp:docPr id="12" name="Picture 12" descr="Знак за обозначаване на надземни пожарни водоеми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Знак за обозначаване на надземни пожарни водоеми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F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58FC" w:rsidRPr="004A7187" w:rsidRDefault="009558FC" w:rsidP="00591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lang w:eastAsia="bg-BG"/>
              </w:rPr>
            </w:pPr>
            <w:r w:rsidRPr="004A7187">
              <w:rPr>
                <w:rFonts w:ascii="Times New Roman" w:eastAsia="Times New Roman" w:hAnsi="Times New Roman" w:cs="Times New Roman"/>
                <w:noProof/>
                <w:color w:val="1E73BE"/>
                <w:sz w:val="27"/>
                <w:szCs w:val="27"/>
                <w:bdr w:val="none" w:sz="0" w:space="0" w:color="auto" w:frame="1"/>
                <w:lang w:eastAsia="bg-BG"/>
              </w:rPr>
              <w:drawing>
                <wp:inline distT="0" distB="0" distL="0" distR="0" wp14:anchorId="0D590642" wp14:editId="2B51BBCA">
                  <wp:extent cx="1524000" cy="1524000"/>
                  <wp:effectExtent l="0" t="0" r="0" b="0"/>
                  <wp:docPr id="13" name="Picture 13" descr="Знак за обозначаване на подземни пожарни хидранти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Знак за обозначаване на подземни пожарни хидранти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7187"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lang w:eastAsia="bg-BG"/>
              </w:rPr>
              <w:br/>
            </w:r>
            <w:r w:rsidRPr="004A7187">
              <w:rPr>
                <w:rFonts w:ascii="Times New Roman" w:eastAsia="Times New Roman" w:hAnsi="Times New Roman" w:cs="Times New Roman"/>
                <w:noProof/>
                <w:color w:val="1E73BE"/>
                <w:sz w:val="27"/>
                <w:szCs w:val="27"/>
                <w:bdr w:val="none" w:sz="0" w:space="0" w:color="auto" w:frame="1"/>
                <w:lang w:eastAsia="bg-BG"/>
              </w:rPr>
              <w:drawing>
                <wp:inline distT="0" distB="0" distL="0" distR="0" wp14:anchorId="799DF57E" wp14:editId="3BDFDD0F">
                  <wp:extent cx="1524000" cy="1514475"/>
                  <wp:effectExtent l="0" t="0" r="0" b="9525"/>
                  <wp:docPr id="14" name="Picture 14" descr="Знак за обозначаване на подземни пожарни водоеми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Знак за обозначаване на подземни пожарни водоеми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52D8" w:rsidRDefault="00B252D8" w:rsidP="00B252D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</w:p>
    <w:p w:rsidR="009558FC" w:rsidRPr="004A7187" w:rsidRDefault="009558FC" w:rsidP="00B252D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/>
          <w:iCs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</w:t>
      </w:r>
      <w:r w:rsidRPr="004A7187">
        <w:rPr>
          <w:rFonts w:ascii="Times New Roman" w:eastAsia="Times New Roman" w:hAnsi="Times New Roman" w:cs="Times New Roman"/>
          <w:i/>
          <w:iCs/>
          <w:color w:val="3A3A3A"/>
          <w:sz w:val="27"/>
          <w:szCs w:val="27"/>
          <w:lang w:eastAsia="bg-BG"/>
        </w:rPr>
        <w:t>С изменения на </w:t>
      </w:r>
      <w:hyperlink r:id="rId22" w:anchor="pril5" w:tgtFrame="_blank" w:history="1">
        <w:r w:rsidRPr="004A7187">
          <w:rPr>
            <w:rFonts w:ascii="Times New Roman" w:eastAsia="Times New Roman" w:hAnsi="Times New Roman" w:cs="Times New Roman"/>
            <w:i/>
            <w:iCs/>
            <w:color w:val="1E73BE"/>
            <w:sz w:val="27"/>
            <w:szCs w:val="27"/>
            <w:bdr w:val="none" w:sz="0" w:space="0" w:color="auto" w:frame="1"/>
            <w:lang w:eastAsia="bg-BG"/>
          </w:rPr>
          <w:t>приложение 5</w:t>
        </w:r>
      </w:hyperlink>
      <w:r w:rsidRPr="004A7187">
        <w:rPr>
          <w:rFonts w:ascii="Times New Roman" w:eastAsia="Times New Roman" w:hAnsi="Times New Roman" w:cs="Times New Roman"/>
          <w:i/>
          <w:iCs/>
          <w:color w:val="3A3A3A"/>
          <w:sz w:val="27"/>
          <w:szCs w:val="27"/>
          <w:lang w:eastAsia="bg-BG"/>
        </w:rPr>
        <w:t> на наредбата са въведени нови изисквания относно вида на знаците за обозначаване на пожарни хидранти и пожарни водоеми, като съответно са с различно съдържание в зависимост от това дали са надземни и подземни:</w:t>
      </w:r>
    </w:p>
    <w:p w:rsidR="009558FC" w:rsidRPr="004A7187" w:rsidRDefault="009558FC" w:rsidP="009558F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Знаците за надземни хидранти трябва да съдържат информация за номиналния диаметър (в милиметри) на водопровода, към който е монтиран пожарният хидрант (напр. ПХ 80, ПХ 100 и др.).</w:t>
      </w:r>
    </w:p>
    <w:p w:rsidR="009558FC" w:rsidRPr="004A7187" w:rsidRDefault="009558FC" w:rsidP="009558F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Знаците за надземни водоеми трябва да съдържат информация за неприкосновения противопожарен запас на водоема (в кубични метри).</w:t>
      </w:r>
    </w:p>
    <w:p w:rsidR="009558FC" w:rsidRPr="004A7187" w:rsidRDefault="009558FC" w:rsidP="009558F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Знаците за подземни хидранти и водоеми в допълнение трябва да съдържат и информация за разстоянията (в метри) от знака до подземния пожарен хидрант/водоем.</w:t>
      </w:r>
      <w:bookmarkStart w:id="0" w:name="_GoBack"/>
      <w:bookmarkEnd w:id="0"/>
    </w:p>
    <w:p w:rsidR="009558FC" w:rsidRPr="004A7187" w:rsidRDefault="009558FC" w:rsidP="009558F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</w:p>
    <w:p w:rsidR="009558FC" w:rsidRPr="004A7187" w:rsidRDefault="009558FC" w:rsidP="009558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  <w:t>Ново: Изисквания, свързани с фотоволтаични системи</w:t>
      </w:r>
    </w:p>
    <w:tbl>
      <w:tblPr>
        <w:tblW w:w="22320" w:type="dxa"/>
        <w:tblInd w:w="-1420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3750"/>
        <w:gridCol w:w="7290"/>
        <w:gridCol w:w="7200"/>
      </w:tblGrid>
      <w:tr w:rsidR="009558FC" w:rsidRPr="004A7187" w:rsidTr="00591F67"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58FC" w:rsidRPr="004A7187" w:rsidRDefault="009558FC" w:rsidP="00591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lang w:eastAsia="bg-BG"/>
              </w:rPr>
            </w:pPr>
            <w:r w:rsidRPr="004A7187">
              <w:rPr>
                <w:rFonts w:ascii="Times New Roman" w:eastAsia="Times New Roman" w:hAnsi="Times New Roman" w:cs="Times New Roman"/>
                <w:noProof/>
                <w:color w:val="1E73BE"/>
                <w:sz w:val="27"/>
                <w:szCs w:val="27"/>
                <w:bdr w:val="none" w:sz="0" w:space="0" w:color="auto" w:frame="1"/>
                <w:lang w:eastAsia="bg-BG"/>
              </w:rPr>
              <w:lastRenderedPageBreak/>
              <w:drawing>
                <wp:inline distT="0" distB="0" distL="0" distR="0" wp14:anchorId="16304CB6" wp14:editId="55FBA7CD">
                  <wp:extent cx="1665959" cy="2038350"/>
                  <wp:effectExtent l="0" t="0" r="0" b="0"/>
                  <wp:docPr id="15" name="Picture 15" descr="Знак за обозначаване на ФЕЦ за производство на електрическа енергия от слънчева енергия, които са монтирани към сгради или постройки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Знак за обозначаване на ФЕЦ за производство на електрическа енергия от слънчева енергия, които са монтирани към сгради или постройки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452" cy="2084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58FC" w:rsidRPr="004A7187" w:rsidRDefault="009558FC" w:rsidP="00591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lang w:eastAsia="bg-BG"/>
              </w:rPr>
            </w:pPr>
            <w:r w:rsidRPr="004A7187">
              <w:rPr>
                <w:rFonts w:ascii="Times New Roman" w:eastAsia="Times New Roman" w:hAnsi="Times New Roman" w:cs="Times New Roman"/>
                <w:noProof/>
                <w:color w:val="1E73BE"/>
                <w:sz w:val="27"/>
                <w:szCs w:val="27"/>
                <w:bdr w:val="none" w:sz="0" w:space="0" w:color="auto" w:frame="1"/>
                <w:lang w:eastAsia="bg-BG"/>
              </w:rPr>
              <w:drawing>
                <wp:inline distT="0" distB="0" distL="0" distR="0" wp14:anchorId="32613A77" wp14:editId="570CBCA6">
                  <wp:extent cx="1683166" cy="2085975"/>
                  <wp:effectExtent l="0" t="0" r="0" b="0"/>
                  <wp:docPr id="16" name="Picture 16" descr="Знак за обозначаване на асансьорите за пожарникари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Знак за обозначаване на асансьорите за пожарникари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478" cy="2104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58FC" w:rsidRPr="004A7187" w:rsidRDefault="009558FC" w:rsidP="00591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lang w:eastAsia="bg-BG"/>
              </w:rPr>
            </w:pPr>
            <w:r w:rsidRPr="004A7187">
              <w:rPr>
                <w:rFonts w:ascii="Times New Roman" w:eastAsia="Times New Roman" w:hAnsi="Times New Roman" w:cs="Times New Roman"/>
                <w:noProof/>
                <w:color w:val="1E73BE"/>
                <w:sz w:val="27"/>
                <w:szCs w:val="27"/>
                <w:bdr w:val="none" w:sz="0" w:space="0" w:color="auto" w:frame="1"/>
                <w:lang w:eastAsia="bg-BG"/>
              </w:rPr>
              <w:drawing>
                <wp:inline distT="0" distB="0" distL="0" distR="0" wp14:anchorId="1EAE08D8" wp14:editId="15960676">
                  <wp:extent cx="2285895" cy="1167265"/>
                  <wp:effectExtent l="0" t="0" r="635" b="0"/>
                  <wp:docPr id="17" name="Picture 17" descr="Знак за обозначаване на устройство за ръчно прекъсване на веригите за постоянен ток и за променлив ток на ФЕЦ, монтирана към сграда или постройка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Знак за обозначаване на устройство за ръчно прекъсване на веригите за постоянен ток и за променлив ток на ФЕЦ, монтирана към сграда или постройка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442981" cy="1247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558FC" w:rsidRPr="004A7187" w:rsidRDefault="009558FC" w:rsidP="00591F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A3A3A"/>
                <w:sz w:val="27"/>
                <w:szCs w:val="27"/>
                <w:lang w:eastAsia="bg-BG"/>
              </w:rPr>
            </w:pPr>
            <w:r w:rsidRPr="004A7187">
              <w:rPr>
                <w:rFonts w:ascii="Times New Roman" w:eastAsia="Times New Roman" w:hAnsi="Times New Roman" w:cs="Times New Roman"/>
                <w:noProof/>
                <w:color w:val="1E73BE"/>
                <w:sz w:val="27"/>
                <w:szCs w:val="27"/>
                <w:bdr w:val="none" w:sz="0" w:space="0" w:color="auto" w:frame="1"/>
                <w:lang w:eastAsia="bg-BG"/>
              </w:rPr>
              <w:drawing>
                <wp:inline distT="0" distB="0" distL="0" distR="0" wp14:anchorId="378294FD" wp14:editId="279A89A0">
                  <wp:extent cx="4410075" cy="2190750"/>
                  <wp:effectExtent l="0" t="0" r="9525" b="0"/>
                  <wp:docPr id="18" name="Picture 18" descr="Знак за обозначаване на устройство за ръчно прекъсване на веригите за постоянен ток и за променлив ток на ФЕЦ с наземни фотоволтаични модули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Знак за обозначаване на устройство за ръчно прекъсване на веригите за постоянен ток и за променлив ток на ФЕЦ с наземни фотоволтаични модули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075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58FC" w:rsidRPr="004A7187" w:rsidRDefault="009558FC" w:rsidP="009558F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Въвежда се изискването площадките на фотоволтаичните електрически централи с наземни фотоволтаични модули се поддържат чисти от горими отпадъци, суха растителност и други растителни остатъци.</w:t>
      </w:r>
    </w:p>
    <w:p w:rsidR="009558FC" w:rsidRPr="004A7187" w:rsidRDefault="009558FC" w:rsidP="009558FC">
      <w:pPr>
        <w:shd w:val="clear" w:color="auto" w:fill="F8F9FA"/>
        <w:spacing w:line="240" w:lineRule="auto"/>
        <w:rPr>
          <w:rFonts w:ascii="Times New Roman" w:eastAsia="Times New Roman" w:hAnsi="Times New Roman" w:cs="Times New Roman"/>
          <w:i/>
          <w:iCs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i/>
          <w:iCs/>
          <w:color w:val="3A3A3A"/>
          <w:sz w:val="27"/>
          <w:szCs w:val="27"/>
          <w:lang w:eastAsia="bg-BG"/>
        </w:rPr>
        <w:t>С нов член 19б се въвеждат изискванията за </w:t>
      </w:r>
      <w:r w:rsidRPr="004A7187">
        <w:rPr>
          <w:rFonts w:ascii="Times New Roman" w:eastAsia="Times New Roman" w:hAnsi="Times New Roman" w:cs="Times New Roman"/>
          <w:b/>
          <w:bCs/>
          <w:i/>
          <w:iCs/>
          <w:color w:val="3A3A3A"/>
          <w:sz w:val="27"/>
          <w:szCs w:val="27"/>
          <w:bdr w:val="none" w:sz="0" w:space="0" w:color="auto" w:frame="1"/>
          <w:lang w:eastAsia="bg-BG"/>
        </w:rPr>
        <w:t>обозначаване</w:t>
      </w:r>
      <w:r w:rsidRPr="004A7187">
        <w:rPr>
          <w:rFonts w:ascii="Times New Roman" w:eastAsia="Times New Roman" w:hAnsi="Times New Roman" w:cs="Times New Roman"/>
          <w:i/>
          <w:iCs/>
          <w:color w:val="3A3A3A"/>
          <w:sz w:val="27"/>
          <w:szCs w:val="27"/>
          <w:lang w:eastAsia="bg-BG"/>
        </w:rPr>
        <w:t> на фотоволтаичните системи и устройствата за ръчно прекъсване на веригите за постоянен ток и за променлив ток, както и за </w:t>
      </w:r>
      <w:r w:rsidRPr="004A7187">
        <w:rPr>
          <w:rFonts w:ascii="Times New Roman" w:eastAsia="Times New Roman" w:hAnsi="Times New Roman" w:cs="Times New Roman"/>
          <w:b/>
          <w:bCs/>
          <w:i/>
          <w:iCs/>
          <w:color w:val="3A3A3A"/>
          <w:sz w:val="27"/>
          <w:szCs w:val="27"/>
          <w:bdr w:val="none" w:sz="0" w:space="0" w:color="auto" w:frame="1"/>
          <w:lang w:eastAsia="bg-BG"/>
        </w:rPr>
        <w:t>формата на информацията, която трябва да бъде налична в табло</w:t>
      </w:r>
      <w:r w:rsidRPr="004A7187">
        <w:rPr>
          <w:rFonts w:ascii="Times New Roman" w:eastAsia="Times New Roman" w:hAnsi="Times New Roman" w:cs="Times New Roman"/>
          <w:i/>
          <w:iCs/>
          <w:color w:val="3A3A3A"/>
          <w:sz w:val="27"/>
          <w:szCs w:val="27"/>
          <w:lang w:eastAsia="bg-BG"/>
        </w:rPr>
        <w:t> до фотоволтаичните системи.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Изискванията включват:</w:t>
      </w:r>
    </w:p>
    <w:p w:rsidR="009558FC" w:rsidRPr="004A7187" w:rsidRDefault="009558FC" w:rsidP="009558F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Поставяне на знак в непосредствена близост до всеки от входовете на сградите и постройките, към които са монтирани фотоволтаични електрически централи за производство на електрическа енергия от слънчева енергия.</w:t>
      </w:r>
    </w:p>
    <w:p w:rsidR="009558FC" w:rsidRPr="004A7187" w:rsidRDefault="009558FC" w:rsidP="009558F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Обозначаване със знаци на устройствата за ръчно прекъсване на веригите за постоянен ток и за променлив ток на фотоволтаичните електрически централи за производство на електрическа енергия от слънчева енергия (както за фотоволтаични системи на сгради, така и за наземни).</w:t>
      </w:r>
    </w:p>
    <w:p w:rsidR="009558FC" w:rsidRPr="004A7187" w:rsidRDefault="009558FC" w:rsidP="009558F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В табло, монтирано в непосредствена близост до вход на сградата/постройката, към която е монтирана фотоволтаична електрическа централа, съответно в близост до входа/входовете на площадките на фотоволтаичните електрически централи с наземни фотоволтаични модули да сеосигури документация с информация за фотоволтаичната електрическа централа.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Знаците и формата на информацията са определени в </w:t>
      </w:r>
      <w:hyperlink r:id="rId31" w:anchor="pril5a" w:tgtFrame="_blank" w:history="1">
        <w:r w:rsidRPr="004A7187">
          <w:rPr>
            <w:rFonts w:ascii="Times New Roman" w:eastAsia="Times New Roman" w:hAnsi="Times New Roman" w:cs="Times New Roman"/>
            <w:color w:val="1E73BE"/>
            <w:sz w:val="27"/>
            <w:szCs w:val="27"/>
            <w:bdr w:val="none" w:sz="0" w:space="0" w:color="auto" w:frame="1"/>
            <w:lang w:eastAsia="bg-BG"/>
          </w:rPr>
          <w:t>ново приложение № 5а</w:t>
        </w:r>
      </w:hyperlink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.</w:t>
      </w:r>
    </w:p>
    <w:p w:rsidR="009558FC" w:rsidRPr="004A7187" w:rsidRDefault="009558FC" w:rsidP="009558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  <w:t>Безпрепятствен достъп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(чл. 17, ал. 1)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Изискването за безпрепятствен достъп както до пътищата за противопожарни цели е допълнено с изискване за безпрепятствен достъп до площадките за достъп до сгради с автомеханични стълби и подемници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lastRenderedPageBreak/>
        <w:t>(чл. 17, ал. 2)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Уточнява се в кои случаи се уведомява РСПБЗН преди затваряне на отделни участъци от пътищата за противопожарни цели и до площадките за достъп до сгради с автомеханични стълби и подемници – това трябва да стане преди извършване на ремонтни работи, свързани с изключване на участъци от водопроводната мрежа. Незабавно уведомяване се изисква и при възникване на неизправности и повреди в помпени станции и ПГИ, изтичане на вода от пожарните водоеми или тяхното източване.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(чл. 19, ал. 2)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Уточнени са изискванията към настилките на прелезите на железопътните линии от вътрешния железопътен транспорт за осигуряване преминаването на пожарните автомобили – направена е препратка към изискванията на чл. 27, ал. 3 от Наредба Iз-1971. Настилката трябва да бъде оразмерена за автомобил с минимално натоварване 100 kN/ос за всякакви атмосферни условия.</w:t>
      </w:r>
    </w:p>
    <w:p w:rsidR="009558FC" w:rsidRPr="004A7187" w:rsidRDefault="009558FC" w:rsidP="009558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  <w:t>Пожарно досие</w:t>
      </w:r>
    </w:p>
    <w:p w:rsidR="009558FC" w:rsidRPr="004A7187" w:rsidRDefault="009558FC" w:rsidP="009558F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Съдържанието на пожарното досие се променя в резултат на въвеждането на новите изисквания за контрол и документите, както и въз основа на прецизиране на някои от текстовете в наредбата, свързани с него.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(чл. 8, ал. 1, изм. т. 1) 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Към документите, които се съдържат в пожарното досие, се добавят и документите по чл. 6, ал. 1, т. 3.</w:t>
      </w:r>
    </w:p>
    <w:p w:rsidR="009558FC" w:rsidRPr="004A7187" w:rsidRDefault="009558FC" w:rsidP="009558FC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Това са заповедта или заповедите за определяне на длъжностни лица, които създават организация и осъществяват контрол за спазване на правилата и нормите за ПБ, в т.ч.:</w:t>
      </w:r>
    </w:p>
    <w:p w:rsidR="009558FC" w:rsidRPr="004A7187" w:rsidRDefault="009558FC" w:rsidP="009558F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за осъществяване на контрол на носимите и возимите пожарогасители съгласно чл. 21, ал. 1,</w:t>
      </w:r>
    </w:p>
    <w:p w:rsidR="009558FC" w:rsidRPr="004A7187" w:rsidRDefault="009558FC" w:rsidP="009558F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за осъществяване на контрол на пожарозащитните врати и димоуплътнените врати съгласно чл. 21а,</w:t>
      </w:r>
    </w:p>
    <w:p w:rsidR="009558FC" w:rsidRPr="004A7187" w:rsidRDefault="009558FC" w:rsidP="009558F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за извършване на дейностите по поддържане и обслужване на ПИС, ПГИ, СГС, пожарните кранове и системите за управление на дим и топлина съгласно чл. 22, ал. 6</w:t>
      </w:r>
    </w:p>
    <w:p w:rsidR="009558FC" w:rsidRPr="004A7187" w:rsidRDefault="009558FC" w:rsidP="009558F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за опериране с ПИС, ПГИ, СГС и със системите за управление на дим и топлина;</w:t>
      </w:r>
    </w:p>
    <w:p w:rsidR="009558FC" w:rsidRPr="004A7187" w:rsidRDefault="009558FC" w:rsidP="009558F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за осъществяване на контрол на аварийното евакуационно и аварийното работно осветление съгласно чл. 26, ал. 2.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(чл. 8, ал. 1, изм. т. 2)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С изменението е направено подробно описание на документите, които трябва да се съхраняват в пожарното досие, свързани с поддържане и обслужване на ПИС, ПГИ, СГС, пожарните кранове и системите за управление на дим и топлина:</w:t>
      </w:r>
    </w:p>
    <w:p w:rsidR="009558FC" w:rsidRPr="004A7187" w:rsidRDefault="009558FC" w:rsidP="009558F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bdr w:val="none" w:sz="0" w:space="0" w:color="auto" w:frame="1"/>
          <w:lang w:eastAsia="bg-BG"/>
        </w:rPr>
        <w:t>документите, удостоверяващи извършените през последния едногодишен период поддържане и обслужване на ПИС, ПГИ, СГС, пожарните кранове и системите за управление на дим и топлина съгласно чл. 21 и 22,</w:t>
      </w:r>
    </w:p>
    <w:p w:rsidR="009558FC" w:rsidRPr="004A7187" w:rsidRDefault="009558FC" w:rsidP="009558F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bdr w:val="none" w:sz="0" w:space="0" w:color="auto" w:frame="1"/>
          <w:lang w:eastAsia="bg-BG"/>
        </w:rPr>
        <w:lastRenderedPageBreak/>
        <w:t>документите, удостоверяващи последно извършените тригодишно и десетгодишно поддържане и обслужване на инсталациите по чл. 22, ал. 1, т. 2 и 7,</w:t>
      </w:r>
    </w:p>
    <w:p w:rsidR="009558FC" w:rsidRPr="004A7187" w:rsidRDefault="009558FC" w:rsidP="009558F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bdr w:val="none" w:sz="0" w:space="0" w:color="auto" w:frame="1"/>
          <w:lang w:eastAsia="bg-BG"/>
        </w:rPr>
        <w:t>документите, удостоверяващи последно извършеното петгодишно поддържане на пожарните кранове;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(чл. 8, ал. 1, изм. т. 3)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Направено е уточнение, че съхраняват се документи, издадени от ПБЗН за последния петгодишен период (преди нямаше давностен срок)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(чл. 8, ал. 1, изм. т. 5)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Направено е уточнение, че се съхраняват задължително само протоколи за последно извършената обработка с огнезащитни състави на декорите в обекти от подклас на функционална пожарна опасност Ф2.1;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(чл. 8, ал. 1, </w:t>
      </w:r>
      <w:r w:rsidRPr="004A7187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  <w:bdr w:val="none" w:sz="0" w:space="0" w:color="auto" w:frame="1"/>
          <w:lang w:eastAsia="bg-BG"/>
        </w:rPr>
        <w:t>нова т. 8</w:t>
      </w: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)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В пожарното досие се съхраняват и протоколи за осъществен контрол на аварийното евакуационно и аварийното работно осветление съгласно чл. 26, ал. 2 през текущата и предходната календарна година.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(чл. 8, ал. 1, </w:t>
      </w:r>
      <w:r w:rsidRPr="004A7187">
        <w:rPr>
          <w:rFonts w:ascii="Times New Roman" w:eastAsia="Times New Roman" w:hAnsi="Times New Roman" w:cs="Times New Roman"/>
          <w:b/>
          <w:bCs/>
          <w:color w:val="FF6600"/>
          <w:sz w:val="27"/>
          <w:szCs w:val="27"/>
          <w:bdr w:val="none" w:sz="0" w:space="0" w:color="auto" w:frame="1"/>
          <w:lang w:eastAsia="bg-BG"/>
        </w:rPr>
        <w:t>изм т. 10</w:t>
      </w: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) Ново изискване: 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На практика текстът на тази точка е изменен изцяло и въвежда ново изискване, а именно за издаване на 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u w:val="single"/>
          <w:bdr w:val="none" w:sz="0" w:space="0" w:color="auto" w:frame="1"/>
          <w:lang w:eastAsia="bg-BG"/>
        </w:rPr>
        <w:t>заповед, с която се определя „редът за запознаване на временно пребиваващите в производствените обекти лица със създадената организация за осигуряване на ПБ на обекта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.</w:t>
      </w:r>
    </w:p>
    <w:p w:rsidR="009558FC" w:rsidRPr="004A7187" w:rsidRDefault="009558FC" w:rsidP="009558F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</w:pPr>
      <w:r w:rsidRPr="004A7187">
        <w:rPr>
          <w:rFonts w:ascii="Times New Roman" w:eastAsia="Times New Roman" w:hAnsi="Times New Roman" w:cs="Times New Roman"/>
          <w:b/>
          <w:bCs/>
          <w:color w:val="3A3A3A"/>
          <w:sz w:val="45"/>
          <w:szCs w:val="45"/>
          <w:lang w:eastAsia="bg-BG"/>
        </w:rPr>
        <w:t>Други промени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Segoe UI Emoji" w:eastAsia="Times New Roman" w:hAnsi="Segoe UI Emoji" w:cs="Segoe UI Emoji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➡</w:t>
      </w: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 xml:space="preserve"> Промяна на наименованията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в съответствие с промените в Наредба Iз-1971:  „пожарогасителните системи (ПГС)“ стават „пожарогасителните инсталации (ПГИ)“, а системите за гласово уведомяване (СГУ) стават „системите за гласово сигнализиране (СГС)“.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Segoe UI Emoji" w:eastAsia="Times New Roman" w:hAnsi="Segoe UI Emoji" w:cs="Segoe UI Emoji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➡</w:t>
      </w: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 xml:space="preserve"> Актуализация на стандартите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, към които има препратки относно поддръжката на пожарни кранове, системите за гласово сигнализиране, стационарните пожарогасителни инсталации с кондензирани аерозоли.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В Допълнителните и заключителни разпоредби на обнародваната наредба за изменение и допълнение е направена и актуализация на стандарта „Технически съоръжения за защита срещу пожар. Гасителни системи с въглероден диоксид за използване в помещения. Проектиране и монтиране“ в т. 12 от забележките към приложение № 1 към </w:t>
      </w:r>
      <w:hyperlink r:id="rId32" w:tgtFrame="_blank" w:history="1">
        <w:r w:rsidRPr="004A7187">
          <w:rPr>
            <w:rFonts w:ascii="Times New Roman" w:eastAsia="Times New Roman" w:hAnsi="Times New Roman" w:cs="Times New Roman"/>
            <w:color w:val="1E73BE"/>
            <w:sz w:val="27"/>
            <w:szCs w:val="27"/>
            <w:bdr w:val="none" w:sz="0" w:space="0" w:color="auto" w:frame="1"/>
            <w:lang w:eastAsia="bg-BG"/>
          </w:rPr>
          <w:t>Наредба № Iз-1971 от 29.10. 2009 г. за строително-технически правила и норми за осигуряване на бeзопасност при пожар</w:t>
        </w:r>
      </w:hyperlink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Segoe UI Emoji" w:eastAsia="Times New Roman" w:hAnsi="Segoe UI Emoji" w:cs="Segoe UI Emoji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➡</w:t>
      </w: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 xml:space="preserve"> Къмпинги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(нов чл. 19в): задължение да се поддържат чисти от горими отпадъци, суха растителност и други растителни остатъци (не се разрешава тяхното изгаряне) и остатъчните продукти от скари, барбекюта и други подобни в къмпингите се събират на определени пожарообезопасени места и се отстраняват по ред, определен със заповедта по чл. 9, ал. 2, т. 9.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Segoe UI Emoji" w:eastAsia="Times New Roman" w:hAnsi="Segoe UI Emoji" w:cs="Segoe UI Emoji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➡</w:t>
      </w: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 xml:space="preserve"> Обозначение на асансьорите за пожарникари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(чл. 24, нова ал. 3) – знаците се въвеждат с т. III от </w:t>
      </w:r>
      <w:hyperlink r:id="rId33" w:anchor="pril6" w:tgtFrame="_blank" w:history="1">
        <w:r w:rsidRPr="004A7187">
          <w:rPr>
            <w:rFonts w:ascii="Times New Roman" w:eastAsia="Times New Roman" w:hAnsi="Times New Roman" w:cs="Times New Roman"/>
            <w:color w:val="1E73BE"/>
            <w:sz w:val="27"/>
            <w:szCs w:val="27"/>
            <w:bdr w:val="none" w:sz="0" w:space="0" w:color="auto" w:frame="1"/>
            <w:lang w:eastAsia="bg-BG"/>
          </w:rPr>
          <w:t>приложение № 6</w:t>
        </w:r>
      </w:hyperlink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 xml:space="preserve">. Знаците се поставят на етажното ниво за достъп на спасителните екипи в непосредствена близост до 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lastRenderedPageBreak/>
        <w:t>бутона за повикване на асансьора, както и в непосредствена близост до панела за управление на асансьора.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Segoe UI Emoji" w:eastAsia="Times New Roman" w:hAnsi="Segoe UI Emoji" w:cs="Segoe UI Emoji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➡</w:t>
      </w: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 xml:space="preserve"> Входовете за подпокривните пространства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на сградите с покриви, изпълнени от строителни продукти с класове по реакция на огън В до F (допълнено с „или от строителни продукти с неустановени експлоатационни показатели по отношение на реакцията им на огън“), се държат заключени, когато в тях не пребивават хора (изм. чл 30.)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Segoe UI Emoji" w:eastAsia="Times New Roman" w:hAnsi="Segoe UI Emoji" w:cs="Segoe UI Emoji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➡</w:t>
      </w: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 xml:space="preserve"> Забрана за използване и/или съхраняване в едно помещение на пълни и/или празни бутилки за втечнени въглеводородни газове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, които не захранват бутилкова инсталация по смисъла на Наредбата за устройството, безопасната експлоатация и техническия надзор на газовите съоръжения и инсталации за втечнени въглеводородни газове, с общ обем над 0,1 m3 (Чл. 32, нова т. 8)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Segoe UI Emoji" w:eastAsia="Times New Roman" w:hAnsi="Segoe UI Emoji" w:cs="Segoe UI Emoji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➡</w:t>
      </w: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 xml:space="preserve"> Определя се максимална обща вместимост на бутилките с втечнен въглеводороден газ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, които могат да се съхраняват в свободната дворна площад на обектите от подклас на функционална пожарна опасност Ф3.1 от 500 l (чл. 64, изм. ал. 1)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Segoe UI Emoji" w:eastAsia="Times New Roman" w:hAnsi="Segoe UI Emoji" w:cs="Segoe UI Emoji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➡</w:t>
      </w: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 xml:space="preserve"> При снабдяване на морски и речни плавателни средства с гориво и смазочни материали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(корабно бункероване) на наливно-изливни пристани и пристанища за обществен транспорт се преустановяват всякакви други дейности, извършвани на разстояние 10 m от претоварните съоръжения и от местата за престой на автоцистерните с гориво и смазочни материали (чл. 57, нова ал. 4)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Segoe UI Emoji" w:eastAsia="Times New Roman" w:hAnsi="Segoe UI Emoji" w:cs="Segoe UI Emoji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➡</w:t>
      </w: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 xml:space="preserve"> Огневи работи: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изменение в Приложение № 10 към чл. 70, ал. 3 „Протокол за определяне на експлозивната опасност на средата“. Измерената концентрация трябва да бъде най-малко десет пъти под долната експлозивна граница (преди „пет пъти под долната концентрационна граница на възпламеняване“).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Segoe UI Emoji" w:eastAsia="Times New Roman" w:hAnsi="Segoe UI Emoji" w:cs="Segoe UI Emoji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➡</w:t>
      </w: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 xml:space="preserve"> Преместваеми обекти с гъвкаво покритие: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Уведомяването на РСПБЗН, в чийто район на действие ще бъде поставен обектът трябва да бъде писмено (изм. на чл. 95)</w:t>
      </w:r>
    </w:p>
    <w:p w:rsidR="009558FC" w:rsidRPr="004A7187" w:rsidRDefault="009558FC" w:rsidP="00955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</w:pPr>
      <w:r w:rsidRPr="004A7187">
        <w:rPr>
          <w:rFonts w:ascii="Segoe UI Emoji" w:eastAsia="Times New Roman" w:hAnsi="Segoe UI Emoji" w:cs="Segoe UI Emoji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>➡</w:t>
      </w:r>
      <w:r w:rsidRPr="004A7187">
        <w:rPr>
          <w:rFonts w:ascii="Times New Roman" w:eastAsia="Times New Roman" w:hAnsi="Times New Roman" w:cs="Times New Roman"/>
          <w:b/>
          <w:bCs/>
          <w:color w:val="3A3A3A"/>
          <w:sz w:val="27"/>
          <w:szCs w:val="27"/>
          <w:bdr w:val="none" w:sz="0" w:space="0" w:color="auto" w:frame="1"/>
          <w:lang w:eastAsia="bg-BG"/>
        </w:rPr>
        <w:t xml:space="preserve"> Вентилационни системи за отвеждане на дим и топлина: </w:t>
      </w:r>
      <w:r w:rsidRPr="004A7187">
        <w:rPr>
          <w:rFonts w:ascii="Times New Roman" w:eastAsia="Times New Roman" w:hAnsi="Times New Roman" w:cs="Times New Roman"/>
          <w:color w:val="3A3A3A"/>
          <w:sz w:val="27"/>
          <w:szCs w:val="27"/>
          <w:lang w:eastAsia="bg-BG"/>
        </w:rPr>
        <w:t> С нови т. 8 и 9 на чл. 20 се въвеждат забрани за монтирането на прегради, щори и завеси, както и поставянето на материали и оборудване на разстояние, по-малко от 1 m пред приточните отвори, местата за подаване на чист въздух и димните люкове на вентилационните системи за отвеждане на дим и топлина и разполагането на слънчеви колектори (панели) за топла вода на разстояние, по-малко от 1 m от димните люкове на вентилационните системи за отвеждане на дим и топлина.</w:t>
      </w:r>
    </w:p>
    <w:p w:rsidR="009558FC" w:rsidRPr="004A7187" w:rsidRDefault="009558FC" w:rsidP="009558FC">
      <w:pPr>
        <w:rPr>
          <w:rFonts w:ascii="Times New Roman" w:hAnsi="Times New Roman" w:cs="Times New Roman"/>
        </w:rPr>
      </w:pPr>
    </w:p>
    <w:p w:rsidR="00A369EC" w:rsidRDefault="00A369EC"/>
    <w:sectPr w:rsidR="00A369EC">
      <w:footerReference w:type="default" r:id="rId3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86B" w:rsidRDefault="0056586B" w:rsidP="009558FC">
      <w:pPr>
        <w:spacing w:after="0" w:line="240" w:lineRule="auto"/>
      </w:pPr>
      <w:r>
        <w:separator/>
      </w:r>
    </w:p>
  </w:endnote>
  <w:endnote w:type="continuationSeparator" w:id="0">
    <w:p w:rsidR="0056586B" w:rsidRDefault="0056586B" w:rsidP="0095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3842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58FC" w:rsidRDefault="009558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58FC" w:rsidRDefault="00955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86B" w:rsidRDefault="0056586B" w:rsidP="009558FC">
      <w:pPr>
        <w:spacing w:after="0" w:line="240" w:lineRule="auto"/>
      </w:pPr>
      <w:r>
        <w:separator/>
      </w:r>
    </w:p>
  </w:footnote>
  <w:footnote w:type="continuationSeparator" w:id="0">
    <w:p w:rsidR="0056586B" w:rsidRDefault="0056586B" w:rsidP="00955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25AFB"/>
    <w:multiLevelType w:val="multilevel"/>
    <w:tmpl w:val="5074C4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064DB"/>
    <w:multiLevelType w:val="multilevel"/>
    <w:tmpl w:val="D324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94226A"/>
    <w:multiLevelType w:val="multilevel"/>
    <w:tmpl w:val="041C27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44414"/>
    <w:multiLevelType w:val="multilevel"/>
    <w:tmpl w:val="EF8E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2A5FAF"/>
    <w:multiLevelType w:val="multilevel"/>
    <w:tmpl w:val="FF5AB9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B3AEC"/>
    <w:multiLevelType w:val="multilevel"/>
    <w:tmpl w:val="3A26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B7E0291"/>
    <w:multiLevelType w:val="multilevel"/>
    <w:tmpl w:val="4294A3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0EA2399"/>
    <w:multiLevelType w:val="multilevel"/>
    <w:tmpl w:val="D988C8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745DF7"/>
    <w:multiLevelType w:val="multilevel"/>
    <w:tmpl w:val="33CA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FC"/>
    <w:rsid w:val="0056586B"/>
    <w:rsid w:val="009558FC"/>
    <w:rsid w:val="00A369EC"/>
    <w:rsid w:val="00B2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94DB"/>
  <w15:chartTrackingRefBased/>
  <w15:docId w15:val="{90B37827-602E-4A2E-AA6C-08DA7594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55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8FC"/>
  </w:style>
  <w:style w:type="paragraph" w:styleId="Footer">
    <w:name w:val="footer"/>
    <w:basedOn w:val="Normal"/>
    <w:link w:val="FooterChar"/>
    <w:uiPriority w:val="99"/>
    <w:unhideWhenUsed/>
    <w:rsid w:val="00955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zbut.eu/wp-content/uploads/naredba-8121z-pril5-znak-podzemen-hidrant.png" TargetMode="External"/><Relationship Id="rId26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34" Type="http://schemas.openxmlformats.org/officeDocument/2006/relationships/footer" Target="footer1.xml"/><Relationship Id="rId7" Type="http://schemas.openxmlformats.org/officeDocument/2006/relationships/hyperlink" Target="https://zbut.eu/naredba-8121z-647-ot-1-oktomvri-2014" TargetMode="External"/><Relationship Id="rId12" Type="http://schemas.openxmlformats.org/officeDocument/2006/relationships/hyperlink" Target="https://zbut.eu/wp-content/uploads/PB-4.png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zbut.eu/wp-content/uploads/naredba-8121z-pril5a-znak-fec-nazemna-1.png" TargetMode="External"/><Relationship Id="rId33" Type="http://schemas.openxmlformats.org/officeDocument/2006/relationships/hyperlink" Target="https://zbut.eu/naredba-8121z-647-ot-1-oktomvri-20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zbut.eu/wp-content/uploads/naredba-8121z-pril5-znak-nadzemen-vodoem.png" TargetMode="External"/><Relationship Id="rId20" Type="http://schemas.openxmlformats.org/officeDocument/2006/relationships/hyperlink" Target="https://zbut.eu/wp-content/uploads/naredba-8121z-pril5-znak-podzemen-vodoem.png" TargetMode="External"/><Relationship Id="rId29" Type="http://schemas.openxmlformats.org/officeDocument/2006/relationships/hyperlink" Target="https://zbut.eu/wp-content/uploads/naredba-8121z-pril5a-znak-fec-nazemna-2.p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but.eu/naredba-8121z-647-ot-1-oktomvri-2014" TargetMode="External"/><Relationship Id="rId24" Type="http://schemas.openxmlformats.org/officeDocument/2006/relationships/image" Target="media/image6.png"/><Relationship Id="rId32" Type="http://schemas.openxmlformats.org/officeDocument/2006/relationships/hyperlink" Target="https://zbut.eu/naredba-iz-1971-ot-29-oktomvri-2009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hyperlink" Target="https://zbut.eu/wp-content/uploads/naredba-8121z-pril5a-znak-fec-sgrada-1.png" TargetMode="External"/><Relationship Id="rId28" Type="http://schemas.openxmlformats.org/officeDocument/2006/relationships/image" Target="media/image8.png"/><Relationship Id="rId36" Type="http://schemas.openxmlformats.org/officeDocument/2006/relationships/theme" Target="theme/theme1.xml"/><Relationship Id="rId10" Type="http://schemas.openxmlformats.org/officeDocument/2006/relationships/hyperlink" Target="https://zbut.eu/naredba-8121z-647-ot-1-oktomvri-2014" TargetMode="External"/><Relationship Id="rId19" Type="http://schemas.openxmlformats.org/officeDocument/2006/relationships/image" Target="media/image4.png"/><Relationship Id="rId31" Type="http://schemas.openxmlformats.org/officeDocument/2006/relationships/hyperlink" Target="https://zbut.eu/naredba-8121z-647-ot-1-oktomvri-2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but.eu/naredba-8121z-647-ot-1-oktomvri-2014" TargetMode="External"/><Relationship Id="rId14" Type="http://schemas.openxmlformats.org/officeDocument/2006/relationships/hyperlink" Target="https://zbut.eu/wp-content/uploads/naredba-8121z-pril5-znak-nadzemen-hidrant.png" TargetMode="External"/><Relationship Id="rId22" Type="http://schemas.openxmlformats.org/officeDocument/2006/relationships/hyperlink" Target="https://zbut.eu/naredba-8121z-647-ot-1-oktomvri-2014" TargetMode="External"/><Relationship Id="rId27" Type="http://schemas.openxmlformats.org/officeDocument/2006/relationships/hyperlink" Target="https://zbut.eu/wp-content/uploads/naredba-8121z-pril5a-znak-fec-sgrada-2.png" TargetMode="External"/><Relationship Id="rId30" Type="http://schemas.openxmlformats.org/officeDocument/2006/relationships/image" Target="media/image9.png"/><Relationship Id="rId35" Type="http://schemas.openxmlformats.org/officeDocument/2006/relationships/fontTable" Target="fontTable.xml"/><Relationship Id="rId8" Type="http://schemas.openxmlformats.org/officeDocument/2006/relationships/hyperlink" Target="https://zbut.eu/naredba-8121z-647-ot-1-oktomvri-201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3162</Words>
  <Characters>18029</Characters>
  <Application>Microsoft Office Word</Application>
  <DocSecurity>0</DocSecurity>
  <Lines>150</Lines>
  <Paragraphs>42</Paragraphs>
  <ScaleCrop>false</ScaleCrop>
  <Company/>
  <LinksUpToDate>false</LinksUpToDate>
  <CharactersWithSpaces>21149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Galya Dakova</dc:creator>
  <cp:keywords/>
  <dc:description/>
  <cp:lastModifiedBy>Galya Dakova</cp:lastModifiedBy>
  <cp:revision>2</cp:revision>
  <dcterms:created xsi:type="dcterms:W3CDTF">2025-12-21T12:28:00Z</dcterms:created>
  <dcterms:modified xsi:type="dcterms:W3CDTF">2025-12-21T12:31:00Z</dcterms:modified>
</cp:coreProperties>
</file>